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6423">
      <w:pPr>
        <w:pStyle w:val="Zkladntext"/>
      </w:pPr>
      <w:bookmarkStart w:id="0" w:name="_GoBack"/>
      <w:bookmarkEnd w:id="0"/>
      <w:r>
        <w:t xml:space="preserve">Název: TTP-Assist </w:t>
      </w:r>
      <w:hyperlink r:id="rId6" w:history="1">
        <w:r>
          <w:rPr>
            <w:rStyle w:val="Hypertextovodkaz"/>
          </w:rPr>
          <w:t>COD13.2</w:t>
        </w:r>
      </w:hyperlink>
    </w:p>
    <w:p w:rsidR="00000000" w:rsidRDefault="00096423">
      <w:pPr>
        <w:pStyle w:val="Zkladntext"/>
      </w:pPr>
      <w:r>
        <w:t xml:space="preserve">Stav: POLICY </w:t>
      </w:r>
      <w:hyperlink r:id="rId7" w:anchor="p20140731" w:history="1">
        <w:r>
          <w:rPr>
            <w:rStyle w:val="Hypertextovodkaz"/>
          </w:rPr>
          <w:t>p20140731</w:t>
        </w:r>
      </w:hyperlink>
    </w:p>
    <w:p w:rsidR="00000000" w:rsidRDefault="00096423">
      <w:pPr>
        <w:pStyle w:val="Zkladntext"/>
      </w:pPr>
      <w:r>
        <w:t>Editor: Ulrich Schroeter</w:t>
      </w:r>
    </w:p>
    <w:p w:rsidR="00000000" w:rsidRDefault="00096423">
      <w:pPr>
        <w:pStyle w:val="Zkladntext"/>
      </w:pPr>
      <w:r>
        <w:t xml:space="preserve">Licence: </w:t>
      </w:r>
      <w:hyperlink r:id="rId8" w:anchor="Licence" w:history="1">
        <w:r>
          <w:rPr>
            <w:rStyle w:val="Hypertextovodkaz"/>
          </w:rPr>
          <w:t>CC-by-sa+DRP</w:t>
        </w:r>
      </w:hyperlink>
    </w:p>
    <w:p w:rsidR="00000000" w:rsidRDefault="00096423">
      <w:pPr>
        <w:pStyle w:val="Zkladntext"/>
      </w:pPr>
    </w:p>
    <w:p w:rsidR="00000000" w:rsidRDefault="00096423">
      <w:pPr>
        <w:pStyle w:val="Zkladntext"/>
        <w:rPr>
          <w:rFonts w:eastAsia="Times New Roman"/>
          <w:color w:val="FF0000"/>
        </w:rPr>
      </w:pPr>
      <w:r>
        <w:t>Český překlad: alkas</w:t>
      </w:r>
    </w:p>
    <w:p w:rsidR="00000000" w:rsidRDefault="00096423">
      <w:pPr>
        <w:pStyle w:val="Nadpis4"/>
        <w:jc w:val="center"/>
      </w:pPr>
      <w:r>
        <w:rPr>
          <w:rFonts w:eastAsia="Times New Roman"/>
          <w:i w:val="0"/>
          <w:iCs w:val="0"/>
          <w:color w:val="FF0000"/>
        </w:rPr>
        <w:t>POZOR!</w:t>
      </w:r>
      <w:r>
        <w:rPr>
          <w:rFonts w:eastAsia="Times New Roman"/>
          <w:i w:val="0"/>
          <w:iCs w:val="0"/>
          <w:color w:val="FF0000"/>
        </w:rPr>
        <w:br/>
        <w:t>Tento překlad slouží k pochopení popisovaného tématu.</w:t>
      </w:r>
      <w:r>
        <w:rPr>
          <w:rFonts w:eastAsia="Times New Roman"/>
          <w:i w:val="0"/>
          <w:iCs w:val="0"/>
          <w:color w:val="FF0000"/>
        </w:rPr>
        <w:br/>
        <w:t>Právní platnost má POUZE anglický originál!</w:t>
      </w:r>
    </w:p>
    <w:p w:rsidR="00000000" w:rsidRDefault="00096423"/>
    <w:p w:rsidR="00000000" w:rsidRDefault="00096423">
      <w:pPr>
        <w:pStyle w:val="Nadpis1"/>
      </w:pPr>
      <w:r>
        <w:rPr>
          <w:sz w:val="36"/>
          <w:szCs w:val="36"/>
        </w:rPr>
        <w:t>Zásady zaručování pomocí TTP</w:t>
      </w:r>
    </w:p>
    <w:p w:rsidR="00000000" w:rsidRDefault="00096423">
      <w:pPr>
        <w:pStyle w:val="Zkladntext"/>
      </w:pPr>
      <w:r>
        <w:t>[TTP = Trusted Third Party, důvěryhodná třetí</w:t>
      </w:r>
      <w:r>
        <w:t xml:space="preserve"> strana]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0. Předpoklady</w:t>
      </w:r>
    </w:p>
    <w:p w:rsidR="00000000" w:rsidRDefault="00096423">
      <w:pPr>
        <w:pStyle w:val="Zkladntext"/>
      </w:pPr>
      <w:r>
        <w:t>Tyto pomocné zásady (podzásady) rozšiřují Zásady zaručování (</w:t>
      </w:r>
      <w:hyperlink r:id="rId9" w:history="1">
        <w:r>
          <w:rPr>
            <w:rStyle w:val="Hypertextovodkaz"/>
          </w:rPr>
          <w:t>Assurance Policy</w:t>
        </w:r>
      </w:hyperlink>
      <w:r>
        <w:t>, AP, COD13) specifikací, jak mohou zaručovatelé získat pomoc s ověřováním dokladů totožn</w:t>
      </w:r>
      <w:r>
        <w:t>osti a tím přesunout tuto část zaručování na důvěryhodné třetí strany (TTP). Ostatní definice a termíny lze najít v Zásadách zaručování (AP) nebo v Příručce zaručování (</w:t>
      </w:r>
      <w:hyperlink r:id="rId10" w:history="1">
        <w:r>
          <w:rPr>
            <w:rStyle w:val="Hypertextovodkaz"/>
          </w:rPr>
          <w:t>Assurance Handbook</w:t>
        </w:r>
      </w:hyperlink>
      <w:r>
        <w:t>, AH).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1. R</w:t>
      </w:r>
      <w:r>
        <w:rPr>
          <w:i w:val="0"/>
          <w:iCs w:val="0"/>
        </w:rPr>
        <w:t>ozsah působnosti</w:t>
      </w:r>
    </w:p>
    <w:p w:rsidR="00000000" w:rsidRDefault="00096423">
      <w:pPr>
        <w:pStyle w:val="Zkladntext"/>
      </w:pPr>
      <w:r>
        <w:t>Tyto podzásady jsou omezeny na členy sídlící v oblastech dosud nepříliš pokrytých zaručovateli. Slouží ke zvýšení počtu členů a zaručovatelů v těchto oblastech.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2. Role</w:t>
      </w:r>
    </w:p>
    <w:p w:rsidR="00000000" w:rsidRDefault="00096423">
      <w:pPr>
        <w:pStyle w:val="Nadpis4"/>
        <w:rPr>
          <w:i w:val="0"/>
          <w:iCs w:val="0"/>
        </w:rPr>
      </w:pPr>
      <w:r>
        <w:rPr>
          <w:i w:val="0"/>
          <w:iCs w:val="0"/>
        </w:rPr>
        <w:t>2.1 Důvěryhodné třetí strany</w:t>
      </w:r>
    </w:p>
    <w:p w:rsidR="00000000" w:rsidRDefault="00096423">
      <w:pPr>
        <w:pStyle w:val="Zkladntext"/>
      </w:pPr>
      <w:r>
        <w:t>Důvěryhodná třetí strana (TTP) je osoba t</w:t>
      </w:r>
      <w:r>
        <w:t>radičně uznávaná díky tomu, že tvoří spolehlivá prohlášení pro ostatní, zejména ohledně dokladů totožnosti. Typicky jsou to veřejní notáři (anglo- fonní země), notáři (evropské země), bankovní manažeři, účetní a právníci.</w:t>
      </w:r>
    </w:p>
    <w:p w:rsidR="00000000" w:rsidRDefault="00096423">
      <w:pPr>
        <w:pStyle w:val="Nadpis4"/>
        <w:rPr>
          <w:i w:val="0"/>
          <w:iCs w:val="0"/>
        </w:rPr>
      </w:pPr>
      <w:r>
        <w:rPr>
          <w:i w:val="0"/>
          <w:iCs w:val="0"/>
        </w:rPr>
        <w:t>2.2 Zaručovatel (čili správce TTP,</w:t>
      </w:r>
      <w:r>
        <w:rPr>
          <w:i w:val="0"/>
          <w:iCs w:val="0"/>
        </w:rPr>
        <w:t xml:space="preserve"> TTP-admin)</w:t>
      </w:r>
    </w:p>
    <w:p w:rsidR="00000000" w:rsidRDefault="00096423">
      <w:pPr>
        <w:pStyle w:val="Zkladntext"/>
      </w:pPr>
      <w:r>
        <w:t>Pro angažování osob TTP do zaručování to musí být Starší zaručovatel (</w:t>
      </w:r>
      <w:hyperlink r:id="rId11" w:history="1">
        <w:r>
          <w:rPr>
            <w:rStyle w:val="Hypertextovodkaz"/>
          </w:rPr>
          <w:t>Senior Assurer</w:t>
        </w:r>
      </w:hyperlink>
      <w:r>
        <w:t>). Musí být dobře obeznámen s místním jazykem a obyčeji.</w:t>
      </w:r>
    </w:p>
    <w:p w:rsidR="00000000" w:rsidRDefault="00096423">
      <w:pPr>
        <w:pStyle w:val="Nadpis4"/>
        <w:rPr>
          <w:i w:val="0"/>
          <w:iCs w:val="0"/>
        </w:rPr>
      </w:pPr>
      <w:r>
        <w:rPr>
          <w:i w:val="0"/>
          <w:iCs w:val="0"/>
        </w:rPr>
        <w:t>2.3 Člen</w:t>
      </w:r>
    </w:p>
    <w:p w:rsidR="00000000" w:rsidRDefault="00096423">
      <w:pPr>
        <w:pStyle w:val="Zkladntext"/>
      </w:pPr>
      <w:r>
        <w:t>Člen (zaručovaný), který žije v místě do</w:t>
      </w:r>
      <w:r>
        <w:t>sud velmi slabě pokrytém zaručovateli. Takový člen může použít zaručování pomocí důvěryhodné třetí strany (TTP).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3. Zaručení</w:t>
      </w:r>
    </w:p>
    <w:p w:rsidR="00000000" w:rsidRDefault="00096423">
      <w:pPr>
        <w:pStyle w:val="Zkladntext"/>
      </w:pPr>
      <w:r>
        <w:t>Zaručení pomocí TTP musí splňovat tyto požadavky:</w:t>
      </w:r>
    </w:p>
    <w:p w:rsidR="00000000" w:rsidRDefault="00096423">
      <w:pPr>
        <w:pStyle w:val="Zkladntext"/>
        <w:numPr>
          <w:ilvl w:val="0"/>
          <w:numId w:val="2"/>
        </w:numPr>
      </w:pPr>
      <w:r>
        <w:t>Zaručovatel musí kladně potvrdit totožnost a vhodnost TTP.</w:t>
      </w:r>
    </w:p>
    <w:p w:rsidR="00000000" w:rsidRDefault="00096423">
      <w:pPr>
        <w:pStyle w:val="Zkladntext"/>
        <w:numPr>
          <w:ilvl w:val="0"/>
          <w:numId w:val="2"/>
        </w:numPr>
      </w:pPr>
      <w:r>
        <w:t>TTP a člen se musejí s</w:t>
      </w:r>
      <w:r>
        <w:t>ejít osobně.</w:t>
      </w:r>
    </w:p>
    <w:p w:rsidR="00000000" w:rsidRDefault="00096423">
      <w:pPr>
        <w:pStyle w:val="Zkladntext"/>
        <w:numPr>
          <w:ilvl w:val="0"/>
          <w:numId w:val="2"/>
        </w:numPr>
      </w:pPr>
      <w:r>
        <w:lastRenderedPageBreak/>
        <w:t>TTP potvrdí detaily podporující Prohlášení o zaručení.</w:t>
      </w:r>
    </w:p>
    <w:p w:rsidR="00000000" w:rsidRDefault="00096423">
      <w:pPr>
        <w:pStyle w:val="Zkladntext"/>
        <w:numPr>
          <w:ilvl w:val="0"/>
          <w:numId w:val="2"/>
        </w:numPr>
      </w:pPr>
      <w:r>
        <w:t>Zaručovatel vytvoří prohlášení o spolehnutí, aby potvrdil Prohlášení o zaručení.</w:t>
      </w:r>
    </w:p>
    <w:p w:rsidR="00000000" w:rsidRDefault="00096423">
      <w:pPr>
        <w:pStyle w:val="Zkladntext"/>
        <w:numPr>
          <w:ilvl w:val="0"/>
          <w:numId w:val="2"/>
        </w:numPr>
      </w:pPr>
      <w:r>
        <w:t>Zaručení musí být označeno jako „zaručení pomocí TTP“ (tj. dostane příznak TTPAdmin).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4. Důstojník pro zaru</w:t>
      </w:r>
      <w:r>
        <w:rPr>
          <w:i w:val="0"/>
          <w:iCs w:val="0"/>
        </w:rPr>
        <w:t>čování (AO)</w:t>
      </w:r>
    </w:p>
    <w:p w:rsidR="00000000" w:rsidRDefault="00096423">
      <w:pPr>
        <w:pStyle w:val="Zkladntext"/>
      </w:pPr>
      <w:r>
        <w:t>[AO = Assurance Officer, Důstojník pro zaručování. Nejde zde o vojenskou hodnost, „důstojník“ je v terminologii CAcert osoba pověřená řízením některé oblasti činnosti.]</w:t>
      </w:r>
    </w:p>
    <w:p w:rsidR="00000000" w:rsidRDefault="00096423">
      <w:pPr>
        <w:pStyle w:val="Zkladntext"/>
      </w:pPr>
      <w:r>
        <w:t>Výbor běžně deleguje své odpovědnosti na Důstojníka zaručování (a tento odd</w:t>
      </w:r>
      <w:r>
        <w:t>íl to předpokládá, ale nevyžaduje).</w:t>
      </w:r>
    </w:p>
    <w:p w:rsidR="00000000" w:rsidRDefault="00096423">
      <w:pPr>
        <w:pStyle w:val="Zkladntext"/>
      </w:pPr>
      <w:r>
        <w:t>Od AO jsou vyžadovány roční výkazy o provádění těchto zásad jako součást ročních výkazů sdružení.</w:t>
      </w:r>
    </w:p>
    <w:p w:rsidR="00000000" w:rsidRDefault="00096423">
      <w:pPr>
        <w:pStyle w:val="Nadpis4"/>
        <w:rPr>
          <w:i w:val="0"/>
          <w:iCs w:val="0"/>
        </w:rPr>
      </w:pPr>
      <w:r>
        <w:rPr>
          <w:i w:val="0"/>
          <w:iCs w:val="0"/>
        </w:rPr>
        <w:t>4.1 Provádění</w:t>
      </w:r>
    </w:p>
    <w:p w:rsidR="00000000" w:rsidRDefault="00096423">
      <w:pPr>
        <w:pStyle w:val="Zkladntext"/>
      </w:pPr>
      <w:r>
        <w:t xml:space="preserve">Důstojník pro zaručování (AO) připravuje </w:t>
      </w:r>
      <w:hyperlink r:id="rId12" w:history="1">
        <w:r>
          <w:rPr>
            <w:rStyle w:val="Hypertextovodkaz"/>
          </w:rPr>
          <w:t>podrobnou dokumentaci</w:t>
        </w:r>
      </w:hyperlink>
      <w:r>
        <w:t xml:space="preserve"> p</w:t>
      </w:r>
      <w:r>
        <w:t>odle Příručky zaručování (</w:t>
      </w:r>
      <w:hyperlink r:id="rId13" w:history="1">
        <w:r>
          <w:rPr>
            <w:rStyle w:val="Hypertextovodkaz"/>
          </w:rPr>
          <w:t>AH</w:t>
        </w:r>
      </w:hyperlink>
      <w:r>
        <w:t>). Dokumentace odpovídá potřebám těchto zásad, včetně:</w:t>
      </w:r>
    </w:p>
    <w:p w:rsidR="00000000" w:rsidRDefault="00096423">
      <w:pPr>
        <w:pStyle w:val="Zkladntext"/>
        <w:numPr>
          <w:ilvl w:val="0"/>
          <w:numId w:val="3"/>
        </w:numPr>
      </w:pPr>
      <w:r>
        <w:t>formuláře pro TTP,</w:t>
      </w:r>
    </w:p>
    <w:p w:rsidR="00000000" w:rsidRDefault="00096423">
      <w:pPr>
        <w:pStyle w:val="Zkladntext"/>
        <w:numPr>
          <w:ilvl w:val="0"/>
          <w:numId w:val="3"/>
        </w:numPr>
      </w:pPr>
      <w:r>
        <w:t>návodu pro TTP,</w:t>
      </w:r>
    </w:p>
    <w:p w:rsidR="00000000" w:rsidRDefault="00096423">
      <w:pPr>
        <w:pStyle w:val="Zkladntext"/>
        <w:numPr>
          <w:ilvl w:val="0"/>
          <w:numId w:val="3"/>
        </w:numPr>
      </w:pPr>
      <w:r>
        <w:t>formuláře pro zaručení pomocí TTP (používá zaručovatel),</w:t>
      </w:r>
    </w:p>
    <w:p w:rsidR="00000000" w:rsidRDefault="00096423">
      <w:pPr>
        <w:pStyle w:val="Zkladntext"/>
        <w:numPr>
          <w:ilvl w:val="0"/>
          <w:numId w:val="3"/>
        </w:numPr>
      </w:pPr>
      <w:r>
        <w:t xml:space="preserve">návodu a protokolu pro </w:t>
      </w:r>
      <w:r>
        <w:t>zaručovatele,</w:t>
      </w:r>
    </w:p>
    <w:p w:rsidR="00000000" w:rsidRDefault="00096423">
      <w:pPr>
        <w:pStyle w:val="Zkladntext"/>
        <w:numPr>
          <w:ilvl w:val="0"/>
          <w:numId w:val="3"/>
        </w:numPr>
      </w:pPr>
      <w:r>
        <w:t>způsobu kontaktování zaručovatelů jmenovaných pro zaručování pomocí TTP,</w:t>
      </w:r>
    </w:p>
    <w:p w:rsidR="00000000" w:rsidRDefault="00096423">
      <w:pPr>
        <w:pStyle w:val="Zkladntext"/>
        <w:numPr>
          <w:ilvl w:val="0"/>
          <w:numId w:val="3"/>
        </w:numPr>
      </w:pPr>
      <w:r>
        <w:t xml:space="preserve">definice </w:t>
      </w:r>
      <w:hyperlink r:id="rId14" w:history="1">
        <w:r>
          <w:rPr>
            <w:rStyle w:val="Hypertextovodkaz"/>
          </w:rPr>
          <w:t>Staršího zaručovatele</w:t>
        </w:r>
      </w:hyperlink>
      <w:r>
        <w:t>.</w:t>
      </w:r>
    </w:p>
    <w:p w:rsidR="00000000" w:rsidRDefault="00096423">
      <w:pPr>
        <w:pStyle w:val="Nadpis4"/>
        <w:rPr>
          <w:i w:val="0"/>
          <w:iCs w:val="0"/>
        </w:rPr>
      </w:pPr>
      <w:r>
        <w:rPr>
          <w:i w:val="0"/>
          <w:iCs w:val="0"/>
        </w:rPr>
        <w:t>4.2. Pustiny</w:t>
      </w:r>
    </w:p>
    <w:p w:rsidR="00000000" w:rsidRDefault="00096423">
      <w:pPr>
        <w:pStyle w:val="Zkladntext"/>
      </w:pPr>
      <w:r>
        <w:t xml:space="preserve">Důstojník pro zaručování udržuje </w:t>
      </w:r>
      <w:hyperlink r:id="rId15" w:history="1">
        <w:r>
          <w:rPr>
            <w:rStyle w:val="Hypertextovodkaz"/>
          </w:rPr>
          <w:t>seznam oblastí</w:t>
        </w:r>
      </w:hyperlink>
      <w:r>
        <w:t xml:space="preserve">, které jsou nazývány </w:t>
      </w:r>
      <w:r>
        <w:rPr>
          <w:i/>
          <w:iCs/>
        </w:rPr>
        <w:t>pustiny,</w:t>
      </w:r>
      <w:r>
        <w:t xml:space="preserve"> protože je tam tak málo zaručovatelů, že pořádání osobních schůzek není uskutečnitelné. Ke každé takové oblasti existuje seznam ověřených druhů TTP (například notářů). Seznamy pro jednotlivé oblasti s</w:t>
      </w:r>
      <w:r>
        <w:t xml:space="preserve">e budou pravděpodobně lišit vzhledem k jejich různým právním tradicím. Změny v seznamech oblastí připravuje jak zaručovatel organizací příslušné oblasti (popsáno v OAP – Zásadách zaručování organizací), nebo dvěma zaručovateli znalými tradic dané oblasti. </w:t>
      </w:r>
      <w:r>
        <w:t>Změny jsou pak předloženy Výboru ke schválení.</w:t>
      </w:r>
    </w:p>
    <w:p w:rsidR="00000000" w:rsidRDefault="00096423">
      <w:pPr>
        <w:pStyle w:val="Zkladntext"/>
      </w:pPr>
      <w:r>
        <w:t>Využití takového druhu TTP, který není na seznamu, musí být schváleno Důstojníkem zaručování (AO) a oznámeno Výboru. Snižování počtu zaručení pomocí TTP ve prospěch klasického zaručení osobní schůzkou je výslo</w:t>
      </w:r>
      <w:r>
        <w:t>vným cílem.</w:t>
      </w:r>
    </w:p>
    <w:p w:rsidR="00000000" w:rsidRDefault="00096423">
      <w:pPr>
        <w:pStyle w:val="Zkladntext"/>
      </w:pPr>
      <w:r>
        <w:t xml:space="preserve">Důstojník pro zaručování, ve spolupráci s vnitřními a vnějšími auditory, navrhuje a zavádí účelný program vyhovující potřebám auditu. Pokud to schválí auditoři nebo Výbor, může důstojník pro zaručování dokumentovat a zavádět menší změny těchto </w:t>
      </w:r>
      <w:r>
        <w:t>zásad.</w:t>
      </w:r>
    </w:p>
    <w:p w:rsidR="00000000" w:rsidRDefault="00096423">
      <w:pPr>
        <w:pStyle w:val="Nadpis2"/>
        <w:rPr>
          <w:i w:val="0"/>
          <w:iCs w:val="0"/>
        </w:rPr>
      </w:pPr>
      <w:r>
        <w:rPr>
          <w:i w:val="0"/>
          <w:iCs w:val="0"/>
        </w:rPr>
        <w:t>5. Dovršení (topup) zaručení</w:t>
      </w:r>
    </w:p>
    <w:p w:rsidR="00000000" w:rsidRDefault="00096423">
      <w:pPr>
        <w:pStyle w:val="Zkladntext"/>
      </w:pPr>
      <w:r>
        <w:t xml:space="preserve">Důstojník pro zaručování má vypracovat </w:t>
      </w:r>
      <w:r>
        <w:rPr>
          <w:i/>
          <w:iCs/>
        </w:rPr>
        <w:t>Program dovršení zaručování</w:t>
      </w:r>
      <w:r>
        <w:t xml:space="preserve"> (</w:t>
      </w:r>
      <w:r>
        <w:rPr>
          <w:i/>
          <w:iCs/>
        </w:rPr>
        <w:t>Topup Assuranc Programme</w:t>
      </w:r>
      <w:r>
        <w:t>), aby pomohl „osázet poušť“ novými zaručovateli. Dovršení zaručení přidá další body zaručení těm, kteří již absolvovali dvě zar</w:t>
      </w:r>
      <w:r>
        <w:t>učení pomocí osob TTP a ti tak mohou dosáhnout až 100 bodů zaručení a rychle se tak stát zaručovateli. [V těch dvou zaručeních figurovali dva různí Starší zaručovatelé.]</w:t>
      </w:r>
    </w:p>
    <w:p w:rsidR="00000000" w:rsidRDefault="00096423">
      <w:pPr>
        <w:pStyle w:val="Zkladntext"/>
      </w:pPr>
      <w:r>
        <w:t>Dovršení (topup) zaručení je vedeno třetím Starším zaručovatelem podle těchto požadavk</w:t>
      </w:r>
      <w:r>
        <w:t>ů:</w:t>
      </w:r>
    </w:p>
    <w:p w:rsidR="00000000" w:rsidRDefault="00096423">
      <w:pPr>
        <w:pStyle w:val="Zkladntext"/>
        <w:numPr>
          <w:ilvl w:val="0"/>
          <w:numId w:val="4"/>
        </w:numPr>
      </w:pPr>
      <w:r>
        <w:lastRenderedPageBreak/>
        <w:t>Člen musí úspěšně projít testem Výzva zaručovatele.</w:t>
      </w:r>
    </w:p>
    <w:p w:rsidR="00000000" w:rsidRDefault="00096423">
      <w:pPr>
        <w:pStyle w:val="Zkladntext"/>
        <w:numPr>
          <w:ilvl w:val="0"/>
          <w:numId w:val="4"/>
        </w:numPr>
      </w:pPr>
      <w:r>
        <w:t>Dovršení (topup) musí být vyžádáno Členem, aby mu umožnilo dosáhnout stavu zaručovatele.</w:t>
      </w:r>
    </w:p>
    <w:p w:rsidR="00000000" w:rsidRDefault="00096423">
      <w:pPr>
        <w:pStyle w:val="Zkladntext"/>
        <w:numPr>
          <w:ilvl w:val="0"/>
          <w:numId w:val="4"/>
        </w:numPr>
      </w:pPr>
      <w:r>
        <w:t>Zaručovatel pro dovršení musí být Starší zaručovatel (Senior Assurer). Musí být nezávislý na zaručovatelích, kte</w:t>
      </w:r>
      <w:r>
        <w:t>ří prováděli zaručení pomocí TTP.</w:t>
      </w:r>
    </w:p>
    <w:p w:rsidR="00000000" w:rsidRDefault="00096423">
      <w:pPr>
        <w:pStyle w:val="Zkladntext"/>
        <w:numPr>
          <w:ilvl w:val="0"/>
          <w:numId w:val="4"/>
        </w:numPr>
      </w:pPr>
      <w:r>
        <w:t>Zaručovatel pro dovršení prozkoumá obě předešlá zaručení pomocí TTP a vykoná i další kontroly předepsané Důstojníkem pro zaručování. Běžná osobní schůzka se neprovádí.</w:t>
      </w:r>
    </w:p>
    <w:p w:rsidR="00000000" w:rsidRDefault="00096423">
      <w:pPr>
        <w:pStyle w:val="Zkladntext"/>
        <w:numPr>
          <w:ilvl w:val="0"/>
          <w:numId w:val="4"/>
        </w:numPr>
      </w:pPr>
      <w:r>
        <w:t>Zaručovatel pro dovršení může přidělit až 35 bodů zaru</w:t>
      </w:r>
      <w:r>
        <w:t>čení.</w:t>
      </w:r>
    </w:p>
    <w:p w:rsidR="00000000" w:rsidRDefault="00096423">
      <w:pPr>
        <w:pStyle w:val="Zkladntext"/>
        <w:numPr>
          <w:ilvl w:val="0"/>
          <w:numId w:val="4"/>
        </w:numPr>
      </w:pPr>
      <w:r>
        <w:t>Zaručení musí být označeno jako Topup (tedy novým způsobem s příznakem TTPAdmin).</w:t>
      </w:r>
    </w:p>
    <w:p w:rsidR="00000000" w:rsidRDefault="00096423">
      <w:pPr>
        <w:pStyle w:val="Zkladntext"/>
      </w:pPr>
      <w:r>
        <w:t>Každé dovršení (topup) musí být oznámeno Důstojníkovi pro zaručování. Provádět dovršení je umožněno pouze ve vyznačených „pustinách“.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23"/>
    <w:rsid w:val="000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/>
      <w:b/>
      <w:bCs/>
      <w:i/>
      <w:i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acert.org/Policy" TargetMode="External"/><Relationship Id="rId13" Type="http://schemas.openxmlformats.org/officeDocument/2006/relationships/hyperlink" Target="https://wiki.cacert.org/AssuranceHandboo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ki.cacert.org/PolicyDecisions" TargetMode="External"/><Relationship Id="rId12" Type="http://schemas.openxmlformats.org/officeDocument/2006/relationships/hyperlink" Target="https://wiki.cacert.org/TT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vn.cacert.org/CAcert/Policies/ControlledDocumentList.html" TargetMode="External"/><Relationship Id="rId11" Type="http://schemas.openxmlformats.org/officeDocument/2006/relationships/hyperlink" Target="https://wiki.cacert.org/SeniorAssur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ki.cacert.org/deserts" TargetMode="External"/><Relationship Id="rId10" Type="http://schemas.openxmlformats.org/officeDocument/2006/relationships/hyperlink" Target="https://wiki.cacert.org/AssuranceHandb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cert.org/policy/AssurancePolicy.php" TargetMode="External"/><Relationship Id="rId14" Type="http://schemas.openxmlformats.org/officeDocument/2006/relationships/hyperlink" Target="https://wiki.cacert.org/SeniorAssure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Kastner</dc:creator>
  <cp:lastModifiedBy>Aleš Kastner</cp:lastModifiedBy>
  <cp:revision>2</cp:revision>
  <cp:lastPrinted>1601-01-01T00:00:00Z</cp:lastPrinted>
  <dcterms:created xsi:type="dcterms:W3CDTF">2015-11-05T18:22:00Z</dcterms:created>
  <dcterms:modified xsi:type="dcterms:W3CDTF">2015-11-05T18:22:00Z</dcterms:modified>
</cp:coreProperties>
</file>